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12B" w:rsidRDefault="00CA67A6">
      <w:pPr>
        <w:rPr>
          <w:b/>
          <w:bCs/>
        </w:rPr>
      </w:pPr>
      <w:r>
        <w:rPr>
          <w:b/>
          <w:bCs/>
        </w:rPr>
        <w:t>La pagina che non c’era</w:t>
      </w:r>
    </w:p>
    <w:p w:rsidR="000D112B" w:rsidRDefault="00CA67A6">
      <w:pPr>
        <w:rPr>
          <w:b/>
          <w:bCs/>
          <w:i/>
          <w:iCs/>
        </w:rPr>
      </w:pPr>
      <w:r>
        <w:rPr>
          <w:b/>
          <w:bCs/>
          <w:i/>
          <w:iCs/>
        </w:rPr>
        <w:t>Il richiamo della foresta</w:t>
      </w:r>
    </w:p>
    <w:p w:rsidR="000D112B" w:rsidRDefault="00CA67A6">
      <w:pPr>
        <w:rPr>
          <w:b/>
          <w:bCs/>
          <w:i/>
          <w:iCs/>
        </w:rPr>
      </w:pPr>
      <w:r>
        <w:rPr>
          <w:b/>
          <w:bCs/>
        </w:rPr>
        <w:t xml:space="preserve">nella traduzione di Daniele </w:t>
      </w:r>
      <w:proofErr w:type="spellStart"/>
      <w:r>
        <w:rPr>
          <w:b/>
          <w:bCs/>
        </w:rPr>
        <w:t>Petruccioli</w:t>
      </w:r>
      <w:proofErr w:type="spellEnd"/>
    </w:p>
    <w:p w:rsidR="000D112B" w:rsidRDefault="000D112B"/>
    <w:p w:rsidR="000D112B" w:rsidRDefault="000D112B"/>
    <w:p w:rsidR="000D112B" w:rsidRDefault="00CA67A6">
      <w:pPr>
        <w:rPr>
          <w:b/>
          <w:bCs/>
          <w:i/>
          <w:iCs/>
        </w:rPr>
      </w:pPr>
      <w:r>
        <w:rPr>
          <w:b/>
          <w:bCs/>
        </w:rPr>
        <w:t>Pagina vincitrice:</w:t>
      </w:r>
    </w:p>
    <w:p w:rsidR="000D112B" w:rsidRDefault="000D112B">
      <w:pPr>
        <w:rPr>
          <w:b/>
          <w:bCs/>
          <w:i/>
          <w:iCs/>
        </w:rPr>
      </w:pPr>
    </w:p>
    <w:p w:rsidR="000D112B" w:rsidRPr="00262B53" w:rsidRDefault="00262B53">
      <w:pPr>
        <w:rPr>
          <w:b/>
          <w:bCs/>
          <w:i/>
          <w:iCs/>
        </w:rPr>
      </w:pPr>
      <w:r>
        <w:rPr>
          <w:b/>
          <w:bCs/>
        </w:rPr>
        <w:t>Gentileschi</w:t>
      </w:r>
      <w:r w:rsidR="00CA67A6" w:rsidRPr="00262B53">
        <w:rPr>
          <w:b/>
          <w:bCs/>
        </w:rPr>
        <w:t xml:space="preserve"> 8</w:t>
      </w:r>
      <w:r w:rsidR="00E04B83">
        <w:rPr>
          <w:b/>
          <w:bCs/>
        </w:rPr>
        <w:t xml:space="preserve"> </w:t>
      </w:r>
      <w:r w:rsidR="00E04B83" w:rsidRPr="00E04B83">
        <w:rPr>
          <w:b/>
          <w:bCs/>
        </w:rPr>
        <w:t>Giordana Gatto</w:t>
      </w:r>
    </w:p>
    <w:p w:rsidR="000D112B" w:rsidRDefault="000D112B"/>
    <w:p w:rsidR="000D112B" w:rsidRDefault="000D112B"/>
    <w:p w:rsidR="000D112B" w:rsidRPr="00F359B1" w:rsidRDefault="00CA67A6">
      <w:pPr>
        <w:rPr>
          <w:b/>
          <w:bCs/>
          <w:i/>
          <w:iCs/>
          <w:u w:val="single"/>
        </w:rPr>
      </w:pPr>
      <w:r>
        <w:t xml:space="preserve">Per il richiamo all’onirico, al sogno, così presente nel </w:t>
      </w:r>
      <w:r>
        <w:rPr>
          <w:i/>
          <w:iCs/>
        </w:rPr>
        <w:t>Richiamo</w:t>
      </w:r>
      <w:r>
        <w:t xml:space="preserve">; per l’attacco dal ritmo particolarmente felice, incalzante, di nuovo molto in sintonia con il linguaggio di </w:t>
      </w:r>
      <w:proofErr w:type="spellStart"/>
      <w:r>
        <w:t>London</w:t>
      </w:r>
      <w:proofErr w:type="spellEnd"/>
      <w:r>
        <w:t xml:space="preserve"> e di questo romanzo in particolare; per la felicità dell’utilizzo di variazioni di piano quasi cinematografiche (il campo lungo della seconda frase, immediatamente e intelligentemente montato con i primissimi piani – peraltro emotivamente in contrasto – della terza); per il coraggio e la felicità delle allitterazioni in accumulo (es: “...ri</w:t>
      </w:r>
      <w:r>
        <w:rPr>
          <w:b/>
          <w:bCs/>
          <w:i/>
          <w:iCs/>
          <w:color w:val="B00000"/>
          <w:u w:val="single"/>
        </w:rPr>
        <w:t>s</w:t>
      </w:r>
      <w:r>
        <w:rPr>
          <w:b/>
          <w:bCs/>
          <w:i/>
          <w:iCs/>
          <w:color w:val="0000DC"/>
          <w:u w:val="single"/>
        </w:rPr>
        <w:t>p</w:t>
      </w:r>
      <w:r>
        <w:t>e</w:t>
      </w:r>
      <w:r>
        <w:rPr>
          <w:b/>
          <w:bCs/>
          <w:i/>
          <w:iCs/>
          <w:color w:val="00B000"/>
          <w:u w:val="single"/>
        </w:rPr>
        <w:t>tt</w:t>
      </w:r>
      <w:r>
        <w:t>o a un’e</w:t>
      </w:r>
      <w:r>
        <w:rPr>
          <w:b/>
          <w:bCs/>
          <w:i/>
          <w:iCs/>
          <w:color w:val="B00000"/>
          <w:u w:val="single"/>
        </w:rPr>
        <w:t>s</w:t>
      </w:r>
      <w:r>
        <w:t>i</w:t>
      </w:r>
      <w:r>
        <w:rPr>
          <w:b/>
          <w:bCs/>
          <w:i/>
          <w:iCs/>
          <w:color w:val="B00000"/>
          <w:u w:val="single"/>
        </w:rPr>
        <w:t>s</w:t>
      </w:r>
      <w:r>
        <w:rPr>
          <w:b/>
          <w:bCs/>
          <w:i/>
          <w:iCs/>
          <w:color w:val="00B000"/>
          <w:u w:val="single"/>
        </w:rPr>
        <w:t>t</w:t>
      </w:r>
      <w:r>
        <w:t xml:space="preserve">enza che ne era </w:t>
      </w:r>
      <w:r>
        <w:rPr>
          <w:b/>
          <w:bCs/>
          <w:i/>
          <w:iCs/>
          <w:color w:val="B00000"/>
          <w:u w:val="single"/>
        </w:rPr>
        <w:t>s</w:t>
      </w:r>
      <w:r>
        <w:rPr>
          <w:b/>
          <w:bCs/>
          <w:i/>
          <w:iCs/>
          <w:color w:val="00B000"/>
          <w:u w:val="single"/>
        </w:rPr>
        <w:t>t</w:t>
      </w:r>
      <w:r>
        <w:t>a</w:t>
      </w:r>
      <w:r>
        <w:rPr>
          <w:b/>
          <w:bCs/>
          <w:i/>
          <w:iCs/>
          <w:color w:val="00B000"/>
          <w:u w:val="single"/>
        </w:rPr>
        <w:t>t</w:t>
      </w:r>
      <w:r>
        <w:t xml:space="preserve">a </w:t>
      </w:r>
      <w:r>
        <w:rPr>
          <w:b/>
          <w:bCs/>
          <w:i/>
          <w:iCs/>
          <w:color w:val="0000DC"/>
          <w:u w:val="single"/>
        </w:rPr>
        <w:t>p</w:t>
      </w:r>
      <w:r>
        <w:t>ri</w:t>
      </w:r>
      <w:r>
        <w:rPr>
          <w:b/>
          <w:bCs/>
          <w:i/>
          <w:iCs/>
          <w:color w:val="B400B4"/>
          <w:u w:val="single"/>
        </w:rPr>
        <w:t>v</w:t>
      </w:r>
      <w:r>
        <w:t xml:space="preserve">a lo </w:t>
      </w:r>
      <w:r>
        <w:rPr>
          <w:b/>
          <w:bCs/>
          <w:i/>
          <w:iCs/>
          <w:color w:val="B00000"/>
          <w:u w:val="single"/>
        </w:rPr>
        <w:t>s</w:t>
      </w:r>
      <w:r>
        <w:rPr>
          <w:b/>
          <w:bCs/>
          <w:i/>
          <w:iCs/>
          <w:color w:val="0000DC"/>
          <w:u w:val="single"/>
        </w:rPr>
        <w:t>p</w:t>
      </w:r>
      <w:r>
        <w:t>a</w:t>
      </w:r>
      <w:r>
        <w:rPr>
          <w:b/>
          <w:bCs/>
          <w:i/>
          <w:iCs/>
          <w:color w:val="B400B4"/>
          <w:u w:val="single"/>
        </w:rPr>
        <w:t>v</w:t>
      </w:r>
      <w:r>
        <w:t>en</w:t>
      </w:r>
      <w:r>
        <w:rPr>
          <w:b/>
          <w:bCs/>
          <w:i/>
          <w:iCs/>
          <w:color w:val="00B000"/>
          <w:u w:val="single"/>
        </w:rPr>
        <w:t>t</w:t>
      </w:r>
      <w:r>
        <w:t>a</w:t>
      </w:r>
      <w:r>
        <w:rPr>
          <w:b/>
          <w:bCs/>
          <w:i/>
          <w:iCs/>
          <w:color w:val="B400B4"/>
        </w:rPr>
        <w:t>v</w:t>
      </w:r>
      <w:r>
        <w:t xml:space="preserve">a, </w:t>
      </w:r>
      <w:r>
        <w:rPr>
          <w:i/>
          <w:iCs/>
        </w:rPr>
        <w:t>s</w:t>
      </w:r>
      <w:r>
        <w:t xml:space="preserve">e </w:t>
      </w:r>
      <w:r>
        <w:rPr>
          <w:b/>
          <w:bCs/>
          <w:i/>
          <w:iCs/>
          <w:color w:val="0000DC"/>
          <w:u w:val="single"/>
        </w:rPr>
        <w:t>p</w:t>
      </w:r>
      <w:r>
        <w:t>o</w:t>
      </w:r>
      <w:r>
        <w:rPr>
          <w:b/>
          <w:bCs/>
          <w:i/>
          <w:iCs/>
          <w:color w:val="B00000"/>
          <w:u w:val="single"/>
        </w:rPr>
        <w:t>ss</w:t>
      </w:r>
      <w:r>
        <w:t xml:space="preserve">ibile...” addirittura quattro: </w:t>
      </w:r>
      <w:r>
        <w:rPr>
          <w:b/>
          <w:bCs/>
          <w:color w:val="0000DC"/>
        </w:rPr>
        <w:t>p</w:t>
      </w:r>
      <w:r>
        <w:t xml:space="preserve">, </w:t>
      </w:r>
      <w:r>
        <w:rPr>
          <w:b/>
          <w:bCs/>
          <w:color w:val="00B000"/>
        </w:rPr>
        <w:t>t</w:t>
      </w:r>
      <w:r>
        <w:t xml:space="preserve">, </w:t>
      </w:r>
      <w:r>
        <w:rPr>
          <w:b/>
          <w:bCs/>
          <w:color w:val="B00000"/>
        </w:rPr>
        <w:t>s</w:t>
      </w:r>
      <w:r>
        <w:t xml:space="preserve">, </w:t>
      </w:r>
      <w:r>
        <w:rPr>
          <w:b/>
          <w:bCs/>
          <w:color w:val="B400B4"/>
        </w:rPr>
        <w:t>v</w:t>
      </w:r>
      <w:r>
        <w:t xml:space="preserve">!) e per l’importanza del ritmo anche come tema (i due respiri finali che si fondono in un ritmo solo), che mostrano come questa pagina abbia recepito a fondo lo stile della traduzione; per il passaggio alla veglia che coincide con quello del dubbio, un’intuizione acuta su certi temi molto profondi, molto sottotraccia del </w:t>
      </w:r>
      <w:r>
        <w:rPr>
          <w:i/>
          <w:iCs/>
        </w:rPr>
        <w:t>Richiamo</w:t>
      </w:r>
      <w:r>
        <w:t xml:space="preserve">; per il bellissimo tocco d’interpretazione personale, infine, in cui l’amicizia, tema così importante nell’adolescenza, si fa tematica allegorizzata nel respiro calmo di </w:t>
      </w:r>
      <w:proofErr w:type="spellStart"/>
      <w:r>
        <w:t>Billì</w:t>
      </w:r>
      <w:proofErr w:type="spellEnd"/>
      <w:r>
        <w:t xml:space="preserve"> che fa riaddormentare un Buck finalmente, seppure solo temporaneamente, in pace; per questo sapiente amalgama di attenzione al testo, rielaborazione delle sue tematiche e dello stile della traduzione, nonché per il bel tocco sincero e personale che caratterizza ogni vero interprete creativo, per me questa è la pagina che vince: perché non c’era, ma avrei davvero voluto che ci fosse.</w:t>
      </w:r>
    </w:p>
    <w:p w:rsidR="000D112B" w:rsidRDefault="000D112B"/>
    <w:p w:rsidR="000D112B" w:rsidRDefault="00CA67A6" w:rsidP="00556107">
      <w:r>
        <w:t>D</w:t>
      </w:r>
      <w:r w:rsidR="00556107">
        <w:t xml:space="preserve">aniele </w:t>
      </w:r>
      <w:proofErr w:type="spellStart"/>
      <w:r>
        <w:t>P</w:t>
      </w:r>
      <w:r w:rsidR="00556107">
        <w:t>etruccioli</w:t>
      </w:r>
      <w:proofErr w:type="spellEnd"/>
    </w:p>
    <w:p w:rsidR="00F359B1" w:rsidRDefault="00F359B1" w:rsidP="00556107"/>
    <w:p w:rsidR="00F359B1" w:rsidRDefault="00F359B1" w:rsidP="00556107">
      <w:pPr>
        <w:rPr>
          <w:b/>
        </w:rPr>
      </w:pPr>
      <w:r>
        <w:rPr>
          <w:b/>
          <w:i/>
        </w:rPr>
        <w:t xml:space="preserve">Martin Eden </w:t>
      </w:r>
      <w:r>
        <w:rPr>
          <w:b/>
        </w:rPr>
        <w:t xml:space="preserve">nella traduzione di Stella </w:t>
      </w:r>
      <w:proofErr w:type="spellStart"/>
      <w:r>
        <w:rPr>
          <w:b/>
        </w:rPr>
        <w:t>Sacchini</w:t>
      </w:r>
      <w:proofErr w:type="spellEnd"/>
    </w:p>
    <w:p w:rsidR="00F359B1" w:rsidRDefault="00F359B1" w:rsidP="00556107">
      <w:pPr>
        <w:rPr>
          <w:b/>
        </w:rPr>
      </w:pPr>
    </w:p>
    <w:p w:rsidR="00F359B1" w:rsidRDefault="00F359B1" w:rsidP="00556107">
      <w:pPr>
        <w:rPr>
          <w:b/>
        </w:rPr>
      </w:pPr>
      <w:r>
        <w:rPr>
          <w:b/>
        </w:rPr>
        <w:t>Gentileschi 11</w:t>
      </w:r>
      <w:r w:rsidR="00E04B83">
        <w:rPr>
          <w:b/>
        </w:rPr>
        <w:t xml:space="preserve"> </w:t>
      </w:r>
      <w:r w:rsidR="00E04B83" w:rsidRPr="00E04B83">
        <w:rPr>
          <w:b/>
        </w:rPr>
        <w:t xml:space="preserve">Ilaria </w:t>
      </w:r>
      <w:proofErr w:type="spellStart"/>
      <w:r w:rsidR="00E04B83" w:rsidRPr="00E04B83">
        <w:rPr>
          <w:b/>
        </w:rPr>
        <w:t>Minopoli</w:t>
      </w:r>
      <w:proofErr w:type="spellEnd"/>
    </w:p>
    <w:p w:rsidR="00F359B1" w:rsidRDefault="00F359B1" w:rsidP="00556107">
      <w:pPr>
        <w:rPr>
          <w:b/>
        </w:rPr>
      </w:pPr>
    </w:p>
    <w:p w:rsidR="00F359B1" w:rsidRDefault="00F359B1" w:rsidP="00F359B1">
      <w:r w:rsidRPr="00C06B2E">
        <w:t xml:space="preserve">“La pagina che non c’era” </w:t>
      </w:r>
      <w:r>
        <w:t xml:space="preserve">che ho scelto </w:t>
      </w:r>
      <w:r w:rsidRPr="00C06B2E">
        <w:t xml:space="preserve">risulta estremamente credibile. Leggendola, ho pensato che se l’avessi trovata all’interno del romanzo, e nessuno mi avesse avvisato che in realtà non ne faceva parte, non me ne sarei accorta. L’autore o l’autrice della pagina dimostra di aver assimilato la lezione di </w:t>
      </w:r>
      <w:proofErr w:type="spellStart"/>
      <w:r w:rsidRPr="00C06B2E">
        <w:t>London</w:t>
      </w:r>
      <w:proofErr w:type="spellEnd"/>
      <w:r w:rsidRPr="00C06B2E">
        <w:t>, di aver metabolizzato il suo stile, il suo ritmo narrativo, il suo lessico. Con la sensibilità di un traduttore, ha saputo calarsi nella storia e seguire le tracce dell’originale con rigore e perizia. In queste righe c’è tutto lo straziante dissidio interiore del protagonista, e la dolorosa presa di coscienza di aver perduto per sempre le motivazioni, lo slancio, l’ardore che lo aveva</w:t>
      </w:r>
      <w:r>
        <w:t>no</w:t>
      </w:r>
      <w:r w:rsidRPr="00C06B2E">
        <w:t xml:space="preserve"> spinto a emanciparsi dalla sua condizione e a inseguire il sogno di diventare scrittore. Mi ha colpito anche la scelta del passo, perché di fatto è il momento in cui Martin Eden riconosce con desolazione e lucidità l’abisso che la cultura, i libri, la sua nuova condizione hanno spalancato tra sé e quello che era il suo mondo, e al contempo si rende conto di non appartenere pienamente al nuovo mondo cui è approdato. In questa parte del romanzo Martin capisce di essere condannato a un esilio eterno, a un’apolidia del cuore e della mente. Molto efficace, a mio avviso, è anche la scelta delle parole, una consapevolezza lessicale che a chi scrive viene da una spiccata capacità</w:t>
      </w:r>
      <w:r>
        <w:t xml:space="preserve"> –</w:t>
      </w:r>
      <w:r w:rsidRPr="00C06B2E">
        <w:t xml:space="preserve"> forse un intuito</w:t>
      </w:r>
      <w:r>
        <w:t xml:space="preserve"> –</w:t>
      </w:r>
      <w:r w:rsidRPr="00C06B2E">
        <w:t xml:space="preserve"> di calarsi “nei panni” degli altri, di assorbirne la calata, il passo, la cadenza, la visione del mondo e delle cose. A questo proposito mi ha molto colpito l’utilizzo del termine “resilienza” (</w:t>
      </w:r>
      <w:r w:rsidRPr="00286F62">
        <w:rPr>
          <w:i/>
        </w:rPr>
        <w:t>Come triste e vuoto spettro di se stesso Martin non avrebbe potuto fare altro che aggrapparsi alla sua resilienza, quella che gli aveva tenuto compagnia nei giorni delle guance incavate e dei viaggi al banco dei pegni</w:t>
      </w:r>
      <w:r w:rsidRPr="00C06B2E">
        <w:t xml:space="preserve">), che potrebbe suonare, a prima vista, stonato, troppo moderno, ma al contrario è una parola molto cara allo scrittore, che la usa spesso, nelle sue opere: in </w:t>
      </w:r>
      <w:r w:rsidRPr="00C06B2E">
        <w:rPr>
          <w:i/>
        </w:rPr>
        <w:t>L’apostata</w:t>
      </w:r>
      <w:r w:rsidRPr="00C06B2E">
        <w:t xml:space="preserve">, racconto del 1906 che può considerarsi un vivido </w:t>
      </w:r>
      <w:r w:rsidRPr="00C06B2E">
        <w:lastRenderedPageBreak/>
        <w:t xml:space="preserve">antefatto per </w:t>
      </w:r>
      <w:r w:rsidRPr="00286F62">
        <w:rPr>
          <w:i/>
        </w:rPr>
        <w:t>Martin Eden</w:t>
      </w:r>
      <w:r w:rsidRPr="00C06B2E">
        <w:t xml:space="preserve">, leggiamo “Johnny era sfinito, esausto, senza resilienza, mentre suo fratello minore sembrava scoppiare di energia e sprizzava esuberanza da tutti i pori”. Che questa scelta sia consapevole o frutto di un intuito e una sensibilità non comuni non ha importanza, ed è in ogni caso una conferma dell’esito felice di questa “pagina che non </w:t>
      </w:r>
      <w:r w:rsidR="00B063E4">
        <w:t>c’era” e ora, per fortuna, c’è.</w:t>
      </w:r>
    </w:p>
    <w:p w:rsidR="00B063E4" w:rsidRDefault="00B063E4" w:rsidP="00F359B1"/>
    <w:p w:rsidR="00B063E4" w:rsidRPr="00C06B2E" w:rsidRDefault="00B063E4" w:rsidP="00F359B1">
      <w:r>
        <w:t xml:space="preserve">Stella </w:t>
      </w:r>
      <w:proofErr w:type="spellStart"/>
      <w:r>
        <w:t>Sacchini</w:t>
      </w:r>
      <w:proofErr w:type="spellEnd"/>
    </w:p>
    <w:p w:rsidR="00F359B1" w:rsidRPr="00F359B1" w:rsidRDefault="00F359B1" w:rsidP="00556107">
      <w:pPr>
        <w:rPr>
          <w:b/>
        </w:rPr>
      </w:pPr>
    </w:p>
    <w:p w:rsidR="00556107" w:rsidRDefault="00556107">
      <w:pPr>
        <w:jc w:val="right"/>
      </w:pPr>
    </w:p>
    <w:p w:rsidR="00611BAB" w:rsidRPr="00E04B83" w:rsidRDefault="00556107" w:rsidP="00556107">
      <w:pPr>
        <w:rPr>
          <w:b/>
          <w:i/>
        </w:rPr>
      </w:pPr>
      <w:bookmarkStart w:id="0" w:name="_GoBack"/>
      <w:r w:rsidRPr="00E04B83">
        <w:rPr>
          <w:b/>
        </w:rPr>
        <w:t>Pagine vincitrici</w:t>
      </w:r>
      <w:r w:rsidR="00611BAB" w:rsidRPr="00E04B83">
        <w:rPr>
          <w:b/>
        </w:rPr>
        <w:t xml:space="preserve"> </w:t>
      </w:r>
      <w:r w:rsidR="00611BAB" w:rsidRPr="00E04B83">
        <w:rPr>
          <w:b/>
          <w:i/>
        </w:rPr>
        <w:t>Il colibrì</w:t>
      </w:r>
    </w:p>
    <w:p w:rsidR="00556107" w:rsidRDefault="00E04B83" w:rsidP="00556107">
      <w:pPr>
        <w:rPr>
          <w:b/>
          <w:sz w:val="28"/>
          <w:szCs w:val="28"/>
        </w:rPr>
      </w:pPr>
      <w:r w:rsidRPr="00E04B83">
        <w:rPr>
          <w:b/>
        </w:rPr>
        <w:t xml:space="preserve">Labriola 4 Morgana </w:t>
      </w:r>
      <w:proofErr w:type="spellStart"/>
      <w:r w:rsidRPr="00E04B83">
        <w:rPr>
          <w:b/>
        </w:rPr>
        <w:t>Miniscalco</w:t>
      </w:r>
      <w:proofErr w:type="spellEnd"/>
      <w:r w:rsidRPr="00E04B83">
        <w:rPr>
          <w:b/>
        </w:rPr>
        <w:t xml:space="preserve"> e </w:t>
      </w:r>
      <w:r w:rsidRPr="00E04B83">
        <w:rPr>
          <w:b/>
        </w:rPr>
        <w:t>Labriola 6</w:t>
      </w:r>
      <w:r w:rsidRPr="00E04B83">
        <w:rPr>
          <w:b/>
        </w:rPr>
        <w:t xml:space="preserve"> Alessandro </w:t>
      </w:r>
      <w:proofErr w:type="spellStart"/>
      <w:r w:rsidRPr="00E04B83">
        <w:rPr>
          <w:b/>
        </w:rPr>
        <w:t>Terracciano</w:t>
      </w:r>
      <w:bookmarkEnd w:id="0"/>
      <w:proofErr w:type="spellEnd"/>
    </w:p>
    <w:p w:rsidR="00556107" w:rsidRDefault="00556107" w:rsidP="00556107">
      <w:pPr>
        <w:rPr>
          <w:b/>
          <w:sz w:val="28"/>
          <w:szCs w:val="28"/>
        </w:rPr>
      </w:pPr>
    </w:p>
    <w:p w:rsidR="00556107" w:rsidRDefault="00556107" w:rsidP="00556107">
      <w:pPr>
        <w:rPr>
          <w:bCs/>
          <w:iCs/>
        </w:rPr>
      </w:pPr>
      <w:r w:rsidRPr="00556107">
        <w:rPr>
          <w:bCs/>
          <w:iCs/>
        </w:rPr>
        <w:t xml:space="preserve">“Nell’impossibilità di assegnare un salomonico ex-aequo a tutti e cinque i testi finalisti, dovendo prendersi la responsabilità “adulta” di una scelta, devo comunque ricorrere a un ex-equo tra i due testi che, seppur di poco, meglio hanno interpretato il sentimento caldo e disperato che accompagna l’idea di famiglia in tutto il romanzo. Come l'ho misurato, questo “meglio”? L’emozione. L’emozione provata leggendo questi due testi è stata – ripeto, seppur di poco – maggiore. Di sicuro, la lettura di </w:t>
      </w:r>
      <w:r>
        <w:rPr>
          <w:bCs/>
          <w:iCs/>
        </w:rPr>
        <w:t>tutte le pagine</w:t>
      </w:r>
      <w:r w:rsidRPr="00556107">
        <w:rPr>
          <w:bCs/>
          <w:iCs/>
        </w:rPr>
        <w:t xml:space="preserve"> mi ha emozionato, e per questo vorrei dire grazie a tutte le persone coinvolte in questa iniziativa”</w:t>
      </w:r>
      <w:r>
        <w:rPr>
          <w:bCs/>
          <w:iCs/>
        </w:rPr>
        <w:t>.</w:t>
      </w:r>
    </w:p>
    <w:p w:rsidR="00556107" w:rsidRDefault="00556107" w:rsidP="00556107">
      <w:pPr>
        <w:rPr>
          <w:bCs/>
          <w:iCs/>
        </w:rPr>
      </w:pPr>
    </w:p>
    <w:p w:rsidR="00556107" w:rsidRDefault="00556107" w:rsidP="00556107">
      <w:pPr>
        <w:rPr>
          <w:bCs/>
          <w:iCs/>
        </w:rPr>
      </w:pPr>
      <w:r>
        <w:rPr>
          <w:bCs/>
          <w:iCs/>
        </w:rPr>
        <w:t>Sandro Veronesi</w:t>
      </w:r>
    </w:p>
    <w:p w:rsidR="00F359B1" w:rsidRDefault="00F359B1" w:rsidP="00556107">
      <w:pPr>
        <w:rPr>
          <w:bCs/>
          <w:iCs/>
        </w:rPr>
      </w:pPr>
    </w:p>
    <w:p w:rsidR="00F359B1" w:rsidRDefault="005C690E" w:rsidP="00556107">
      <w:pPr>
        <w:rPr>
          <w:b/>
          <w:bCs/>
          <w:iCs/>
        </w:rPr>
      </w:pPr>
      <w:r w:rsidRPr="005C690E">
        <w:rPr>
          <w:b/>
          <w:bCs/>
          <w:iCs/>
        </w:rPr>
        <w:t>Pagina vincitrice</w:t>
      </w:r>
    </w:p>
    <w:p w:rsidR="005C690E" w:rsidRDefault="005C690E" w:rsidP="00556107">
      <w:pPr>
        <w:rPr>
          <w:b/>
          <w:bCs/>
          <w:iCs/>
        </w:rPr>
      </w:pPr>
      <w:r>
        <w:rPr>
          <w:b/>
          <w:bCs/>
          <w:iCs/>
        </w:rPr>
        <w:t>Ischia 16</w:t>
      </w:r>
      <w:r w:rsidR="00E04B83">
        <w:rPr>
          <w:b/>
          <w:bCs/>
          <w:iCs/>
        </w:rPr>
        <w:t xml:space="preserve"> </w:t>
      </w:r>
      <w:r w:rsidR="00E04B83" w:rsidRPr="00E04B83">
        <w:rPr>
          <w:b/>
        </w:rPr>
        <w:t>Sabrina Cocchia, Carmen Distinto, Rita Arcione, Vincenzo Barile</w:t>
      </w:r>
    </w:p>
    <w:p w:rsidR="005C690E" w:rsidRDefault="005C690E" w:rsidP="00556107">
      <w:pPr>
        <w:rPr>
          <w:b/>
          <w:bCs/>
          <w:iCs/>
        </w:rPr>
      </w:pPr>
    </w:p>
    <w:p w:rsidR="005C690E" w:rsidRDefault="005C690E" w:rsidP="00556107">
      <w:pPr>
        <w:rPr>
          <w:b/>
          <w:bCs/>
          <w:i/>
          <w:iCs/>
        </w:rPr>
      </w:pPr>
      <w:r>
        <w:rPr>
          <w:b/>
          <w:bCs/>
          <w:iCs/>
        </w:rPr>
        <w:t xml:space="preserve">Michele Cocchi, </w:t>
      </w:r>
      <w:proofErr w:type="spellStart"/>
      <w:r>
        <w:rPr>
          <w:b/>
          <w:bCs/>
          <w:i/>
          <w:iCs/>
        </w:rPr>
        <w:t>Us</w:t>
      </w:r>
      <w:proofErr w:type="spellEnd"/>
    </w:p>
    <w:p w:rsidR="003B7F8E" w:rsidRPr="006E2046" w:rsidRDefault="003B7F8E" w:rsidP="003B7F8E">
      <w:pPr>
        <w:rPr>
          <w:rFonts w:cstheme="minorHAnsi"/>
        </w:rPr>
      </w:pPr>
      <w:r w:rsidRPr="006E2046">
        <w:rPr>
          <w:rFonts w:cstheme="minorHAnsi"/>
        </w:rPr>
        <w:t>Motivazione per le scuole superiori.</w:t>
      </w:r>
    </w:p>
    <w:p w:rsidR="003B7F8E" w:rsidRPr="00FB05E1" w:rsidRDefault="003B7F8E" w:rsidP="003B7F8E">
      <w:pPr>
        <w:rPr>
          <w:rFonts w:cstheme="minorHAnsi"/>
        </w:rPr>
      </w:pPr>
      <w:r w:rsidRPr="006E2046">
        <w:rPr>
          <w:rFonts w:cstheme="minorHAnsi"/>
        </w:rPr>
        <w:t xml:space="preserve">Ho meditato a lungo sulla scelta perché i testi che mi sono stati proposti avevano la meravigliosa qualità di inserirsi perfettamente tra le trame del racconto, e perché molto mi ha emozionato ciò che ho sentito essere un denominatore comune: lo sforzo di indossare gli abiti dei personaggi, di pensare e parlare come loro, di osservare il mondo coi loro occhi, e di immaginarli proiettati nel futuro, dopo aver acquisito la complessa abilità di saper scegliere della propria vita. Ecco perché tra tutti, parimenti meritevoli di essere </w:t>
      </w:r>
      <w:r w:rsidRPr="006E2046">
        <w:rPr>
          <w:rFonts w:cstheme="minorHAnsi"/>
          <w:i/>
          <w:iCs/>
        </w:rPr>
        <w:t>La pagina che non c’era</w:t>
      </w:r>
      <w:r w:rsidRPr="006E2046">
        <w:rPr>
          <w:rFonts w:cstheme="minorHAnsi"/>
        </w:rPr>
        <w:t xml:space="preserve"> di </w:t>
      </w:r>
      <w:proofErr w:type="spellStart"/>
      <w:r w:rsidRPr="006E2046">
        <w:rPr>
          <w:rFonts w:cstheme="minorHAnsi"/>
        </w:rPr>
        <w:t>Us</w:t>
      </w:r>
      <w:proofErr w:type="spellEnd"/>
      <w:r w:rsidRPr="006E2046">
        <w:rPr>
          <w:rFonts w:cstheme="minorHAnsi"/>
        </w:rPr>
        <w:t xml:space="preserve">, ho scelto </w:t>
      </w:r>
      <w:r>
        <w:rPr>
          <w:rFonts w:cstheme="minorHAnsi"/>
        </w:rPr>
        <w:t xml:space="preserve">il </w:t>
      </w:r>
      <w:r w:rsidRPr="006E2046">
        <w:rPr>
          <w:rFonts w:cstheme="minorHAnsi"/>
        </w:rPr>
        <w:t>componimento</w:t>
      </w:r>
      <w:r>
        <w:rPr>
          <w:rFonts w:cstheme="minorHAnsi"/>
        </w:rPr>
        <w:t xml:space="preserve"> </w:t>
      </w:r>
      <w:r w:rsidRPr="006E2046">
        <w:rPr>
          <w:rFonts w:cstheme="minorHAnsi"/>
        </w:rPr>
        <w:t xml:space="preserve">numero 16 del Liceo di Ischia, perché davvero aggiunge qualcosa che io stesso non sarei stato in grado di aggiungere: l’idea di un prologo che introduca sullo sfondo del romanzo quelle due vite che un giorno, di prepotenza, entreranno nell’esistenza di Tommaso. È inoltre notevole la capacità di delineare con poche pennellate Beatrice e Luca, la loro voce e la loro visione del mondo, ancora inconsapevoli del loro destino, ma già vividi sulla pagina, come per creare una tensione, un’aspettativa - espediente quasi cinematografico - che troverà risoluzione al momento del loro incontro con Logan nella realtà parallela di </w:t>
      </w:r>
      <w:proofErr w:type="spellStart"/>
      <w:r w:rsidRPr="006E2046">
        <w:rPr>
          <w:rFonts w:cstheme="minorHAnsi"/>
        </w:rPr>
        <w:t>Us</w:t>
      </w:r>
      <w:proofErr w:type="spellEnd"/>
      <w:r w:rsidRPr="006E2046">
        <w:rPr>
          <w:rFonts w:cstheme="minorHAnsi"/>
        </w:rPr>
        <w:t xml:space="preserve">. Tre vite che si intrecceranno e diverranno nutrimento una per l’altra. Non solo, la scrittrice, o lo scrittore, di questo testo, utilizza immagini forti, descritte con una lingua semplice ma di grande efficacia, profondamente evocativa - che è poi uno degli obiettivi a cui aspiro quando provo a scrivere una storia - traendo spunto da piccoli dettagli seminati lungo il romanzo, che lei, o lui, ha saputo fare propri, aprirli e dare loro maggiore forza, mostrandoci - come scrive in questa pagina citando lo </w:t>
      </w:r>
      <w:proofErr w:type="spellStart"/>
      <w:r w:rsidRPr="006E2046">
        <w:rPr>
          <w:rFonts w:cstheme="minorHAnsi"/>
        </w:rPr>
        <w:t>shibumi</w:t>
      </w:r>
      <w:proofErr w:type="spellEnd"/>
      <w:r w:rsidRPr="006E2046">
        <w:rPr>
          <w:rFonts w:cstheme="minorHAnsi"/>
        </w:rPr>
        <w:t xml:space="preserve"> giapponese - </w:t>
      </w:r>
      <w:r w:rsidRPr="006E2046">
        <w:rPr>
          <w:rFonts w:cstheme="minorHAnsi"/>
          <w:i/>
          <w:iCs/>
        </w:rPr>
        <w:t xml:space="preserve">la bellezza poco appariscente che si nasconde dietro ad un aspetto esteriore comune. </w:t>
      </w:r>
      <w:r>
        <w:rPr>
          <w:rFonts w:cstheme="minorHAnsi"/>
        </w:rPr>
        <w:t>Grazie.</w:t>
      </w:r>
    </w:p>
    <w:p w:rsidR="005C690E" w:rsidRPr="005C690E" w:rsidRDefault="005C690E" w:rsidP="003B7F8E">
      <w:pPr>
        <w:rPr>
          <w:b/>
          <w:bCs/>
          <w:iCs/>
        </w:rPr>
      </w:pPr>
    </w:p>
    <w:sectPr w:rsidR="005C690E" w:rsidRPr="005C690E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2B"/>
    <w:rsid w:val="000D112B"/>
    <w:rsid w:val="00262B53"/>
    <w:rsid w:val="003B7F8E"/>
    <w:rsid w:val="00556107"/>
    <w:rsid w:val="005C690E"/>
    <w:rsid w:val="00611BAB"/>
    <w:rsid w:val="00AC4BCC"/>
    <w:rsid w:val="00B063E4"/>
    <w:rsid w:val="00CA67A6"/>
    <w:rsid w:val="00E04B83"/>
    <w:rsid w:val="00F3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49E79"/>
  <w15:docId w15:val="{72FFCBED-A352-4630-B120-48DABEA0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Petruccioli</dc:creator>
  <dc:description/>
  <cp:lastModifiedBy>laura vanorio</cp:lastModifiedBy>
  <cp:revision>9</cp:revision>
  <dcterms:created xsi:type="dcterms:W3CDTF">2021-05-23T14:10:00Z</dcterms:created>
  <dcterms:modified xsi:type="dcterms:W3CDTF">2021-06-03T15:02:00Z</dcterms:modified>
  <dc:language>it-IT</dc:language>
</cp:coreProperties>
</file>